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0" w:type="dxa"/>
        <w:tblInd w:w="0" w:type="dxa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exact"/>
        </w:trPr>
        <w:tc>
          <w:tcPr>
            <w:tcW w:w="8920" w:type="dxa"/>
            <w:noWrap w:val="0"/>
            <w:vAlign w:val="center"/>
          </w:tcPr>
          <w:p>
            <w:pPr>
              <w:spacing w:before="579" w:beforeLines="100"/>
              <w:rPr>
                <w:rFonts w:ascii="华文中宋" w:hAnsi="华文中宋" w:eastAsia="华文中宋"/>
                <w:b/>
                <w:bCs/>
                <w:color w:val="FF0000"/>
                <w:spacing w:val="40"/>
                <w:w w:val="80"/>
                <w:sz w:val="80"/>
                <w:szCs w:val="80"/>
              </w:rPr>
            </w:pPr>
            <w:r>
              <w:rPr>
                <w:rFonts w:hint="eastAsia" w:eastAsia="华文中宋"/>
                <w:b/>
                <w:bCs/>
                <w:color w:val="FF0000"/>
                <w:spacing w:val="-64"/>
                <w:w w:val="66"/>
                <w:kern w:val="0"/>
                <w:sz w:val="120"/>
                <w:szCs w:val="120"/>
              </w:rPr>
              <w:t>南京邮电大学工会委员会文件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校工发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〔</w:t>
            </w:r>
            <w:r>
              <w:rPr>
                <w:rFonts w:eastAsia="仿宋"/>
                <w:sz w:val="32"/>
              </w:rPr>
              <w:t>202</w:t>
            </w:r>
            <w:r>
              <w:rPr>
                <w:rFonts w:hint="eastAsia" w:eastAsia="仿宋"/>
                <w:sz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〕</w:t>
            </w: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</w:rPr>
              <w:t>号</w:t>
            </w:r>
          </w:p>
          <w:p>
            <w:pPr>
              <w:ind w:firstLine="640" w:firstLineChars="200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宋体"/>
          <w:sz w:val="21"/>
        </w:rPr>
      </w:pPr>
    </w:p>
    <w:p>
      <w:pPr>
        <w:spacing w:line="0" w:lineRule="atLeas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宋体"/>
          <w:spacing w:val="-44"/>
          <w:w w:val="99"/>
          <w:sz w:val="44"/>
          <w:szCs w:val="44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关于公布</w:t>
      </w:r>
      <w:r>
        <w:rPr>
          <w:rFonts w:hint="eastAsia" w:ascii="宋体" w:hAnsi="宋体" w:eastAsia="宋体" w:cs="Times New Roman"/>
          <w:b/>
          <w:sz w:val="44"/>
          <w:szCs w:val="44"/>
        </w:rPr>
        <w:t>“美在南邮”第二届教职工</w:t>
      </w:r>
    </w:p>
    <w:p>
      <w:pPr>
        <w:spacing w:before="143" w:line="262" w:lineRule="auto"/>
        <w:ind w:left="2517" w:right="506" w:hanging="2383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摄影比赛</w:t>
      </w:r>
      <w:r>
        <w:rPr>
          <w:rFonts w:ascii="宋体" w:hAnsi="宋体" w:eastAsia="宋体" w:cs="宋体"/>
          <w:spacing w:val="-43"/>
          <w:sz w:val="44"/>
          <w:szCs w:val="44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评选结果的通知</w:t>
      </w:r>
    </w:p>
    <w:p>
      <w:pPr>
        <w:spacing w:line="419" w:lineRule="auto"/>
        <w:rPr>
          <w:rFonts w:ascii="宋体"/>
          <w:sz w:val="21"/>
        </w:rPr>
      </w:pPr>
    </w:p>
    <w:p>
      <w:pPr>
        <w:spacing w:before="104" w:line="188" w:lineRule="auto"/>
        <w:ind w:firstLine="1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各分工会：</w:t>
      </w:r>
    </w:p>
    <w:p>
      <w:pPr>
        <w:spacing w:before="297" w:line="360" w:lineRule="auto"/>
        <w:ind w:left="129" w:right="505" w:firstLine="49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为了迎接我校80周年校庆，展现教职工的精神风貌，赞美校园风光，丰富教职工文化生活，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体现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新时代南邮风貌，校工会举办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pacing w:val="2"/>
          <w:sz w:val="32"/>
          <w:szCs w:val="32"/>
        </w:rPr>
        <w:t>“美在南邮”第二届教职工摄影比赛。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活动</w:t>
      </w:r>
      <w:r>
        <w:rPr>
          <w:rFonts w:ascii="仿宋" w:hAnsi="仿宋" w:eastAsia="仿宋" w:cs="仿宋"/>
          <w:spacing w:val="2"/>
          <w:sz w:val="32"/>
          <w:szCs w:val="32"/>
        </w:rPr>
        <w:t>得</w:t>
      </w:r>
      <w:r>
        <w:rPr>
          <w:rFonts w:ascii="仿宋" w:hAnsi="仿宋" w:eastAsia="仿宋" w:cs="仿宋"/>
          <w:spacing w:val="-2"/>
          <w:sz w:val="32"/>
          <w:szCs w:val="32"/>
        </w:rPr>
        <w:t>到</w:t>
      </w:r>
      <w:r>
        <w:rPr>
          <w:rFonts w:ascii="仿宋" w:hAnsi="仿宋" w:eastAsia="仿宋" w:cs="仿宋"/>
          <w:spacing w:val="2"/>
          <w:sz w:val="32"/>
          <w:szCs w:val="32"/>
        </w:rPr>
        <w:t>了广大教职工的积极响应，共收到作品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246</w:t>
      </w:r>
      <w:r>
        <w:rPr>
          <w:rFonts w:hint="eastAsia" w:ascii="仿宋" w:hAnsi="仿宋" w:eastAsia="仿宋" w:cs="仿宋"/>
          <w:spacing w:val="-54"/>
          <w:sz w:val="32"/>
          <w:szCs w:val="32"/>
          <w:lang w:val="en-US" w:eastAsia="zh-CN"/>
        </w:rPr>
        <w:t>幅</w:t>
      </w:r>
      <w:r>
        <w:rPr>
          <w:rFonts w:ascii="仿宋" w:hAnsi="仿宋" w:eastAsia="仿宋" w:cs="仿宋"/>
          <w:spacing w:val="2"/>
          <w:sz w:val="32"/>
          <w:szCs w:val="32"/>
        </w:rPr>
        <w:t>。经过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专家</w:t>
      </w:r>
      <w:r>
        <w:rPr>
          <w:rFonts w:ascii="仿宋" w:hAnsi="仿宋" w:eastAsia="仿宋" w:cs="仿宋"/>
          <w:spacing w:val="-6"/>
          <w:sz w:val="32"/>
          <w:szCs w:val="32"/>
        </w:rPr>
        <w:t>评审，共评出一等奖</w:t>
      </w:r>
      <w:r>
        <w:rPr>
          <w:rFonts w:hint="eastAsia" w:ascii="仿宋" w:hAnsi="仿宋" w:eastAsia="仿宋" w:cs="仿宋"/>
          <w:spacing w:val="-56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幅</w:t>
      </w:r>
      <w:r>
        <w:rPr>
          <w:rFonts w:ascii="仿宋" w:hAnsi="仿宋" w:eastAsia="仿宋" w:cs="仿宋"/>
          <w:spacing w:val="-6"/>
          <w:sz w:val="32"/>
          <w:szCs w:val="32"/>
        </w:rPr>
        <w:t>，二等奖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1幅</w:t>
      </w:r>
      <w:r>
        <w:rPr>
          <w:rFonts w:ascii="仿宋" w:hAnsi="仿宋" w:eastAsia="仿宋" w:cs="仿宋"/>
          <w:spacing w:val="-6"/>
          <w:sz w:val="32"/>
          <w:szCs w:val="32"/>
        </w:rPr>
        <w:t>，三等奖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幅</w:t>
      </w:r>
      <w:r>
        <w:rPr>
          <w:rFonts w:ascii="仿宋" w:hAnsi="仿宋" w:eastAsia="仿宋" w:cs="仿宋"/>
          <w:spacing w:val="-2"/>
          <w:sz w:val="32"/>
          <w:szCs w:val="32"/>
        </w:rPr>
        <w:t>，将颁发证书和奖品，获奖作品将在校园内展出。具体获</w:t>
      </w:r>
      <w:r>
        <w:rPr>
          <w:rFonts w:ascii="仿宋" w:hAnsi="仿宋" w:eastAsia="仿宋" w:cs="仿宋"/>
          <w:spacing w:val="-4"/>
          <w:sz w:val="32"/>
          <w:szCs w:val="32"/>
        </w:rPr>
        <w:t>奖情况如下：</w:t>
      </w:r>
    </w:p>
    <w:p>
      <w:pPr>
        <w:sectPr>
          <w:footerReference r:id="rId5" w:type="default"/>
          <w:pgSz w:w="11906" w:h="16839"/>
          <w:pgMar w:top="1431" w:right="1294" w:bottom="1535" w:left="1691" w:header="0" w:footer="1340" w:gutter="0"/>
          <w:cols w:space="720" w:num="1"/>
        </w:sectPr>
      </w:pPr>
    </w:p>
    <w:p>
      <w:pPr>
        <w:spacing w:before="163" w:line="188" w:lineRule="auto"/>
        <w:ind w:firstLine="39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一等奖</w:t>
      </w:r>
    </w:p>
    <w:p>
      <w:pPr>
        <w:spacing w:line="143" w:lineRule="exact"/>
      </w:pPr>
    </w:p>
    <w:tbl>
      <w:tblPr>
        <w:tblStyle w:val="5"/>
        <w:tblW w:w="87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520"/>
        <w:gridCol w:w="3256"/>
        <w:gridCol w:w="1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7" w:type="dxa"/>
            <w:vAlign w:val="top"/>
          </w:tcPr>
          <w:p>
            <w:pPr>
              <w:spacing w:before="75" w:line="189" w:lineRule="auto"/>
              <w:ind w:firstLine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520" w:type="dxa"/>
            <w:vAlign w:val="top"/>
          </w:tcPr>
          <w:p>
            <w:pPr>
              <w:spacing w:before="75" w:line="189" w:lineRule="auto"/>
              <w:ind w:firstLine="1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推荐单位</w:t>
            </w:r>
          </w:p>
        </w:tc>
        <w:tc>
          <w:tcPr>
            <w:tcW w:w="3256" w:type="dxa"/>
            <w:vAlign w:val="top"/>
          </w:tcPr>
          <w:p>
            <w:pPr>
              <w:spacing w:before="75" w:line="189" w:lineRule="auto"/>
              <w:ind w:firstLine="1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</w:p>
        </w:tc>
        <w:tc>
          <w:tcPr>
            <w:tcW w:w="1206" w:type="dxa"/>
            <w:vAlign w:val="top"/>
          </w:tcPr>
          <w:p>
            <w:pPr>
              <w:spacing w:before="75" w:line="189" w:lineRule="auto"/>
              <w:ind w:firstLine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7" w:type="dxa"/>
            <w:vAlign w:val="top"/>
          </w:tcPr>
          <w:p>
            <w:pPr>
              <w:spacing w:before="202" w:line="180" w:lineRule="auto"/>
              <w:ind w:firstLine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vAlign w:val="top"/>
          </w:tcPr>
          <w:p>
            <w:pPr>
              <w:spacing w:before="160" w:line="189" w:lineRule="auto"/>
              <w:ind w:firstLine="118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教育科学与技术学院</w:t>
            </w:r>
          </w:p>
        </w:tc>
        <w:tc>
          <w:tcPr>
            <w:tcW w:w="3256" w:type="dxa"/>
            <w:vAlign w:val="top"/>
          </w:tcPr>
          <w:p>
            <w:pPr>
              <w:spacing w:before="160" w:line="189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英语角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9" w:lineRule="auto"/>
              <w:ind w:firstLine="264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47" w:type="dxa"/>
            <w:vAlign w:val="top"/>
          </w:tcPr>
          <w:p>
            <w:pPr>
              <w:spacing w:before="197" w:line="180" w:lineRule="auto"/>
              <w:ind w:firstLine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vAlign w:val="top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通达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3256" w:type="dxa"/>
            <w:vAlign w:val="top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通达之晨</w:t>
            </w:r>
          </w:p>
        </w:tc>
        <w:tc>
          <w:tcPr>
            <w:tcW w:w="1206" w:type="dxa"/>
            <w:vAlign w:val="top"/>
          </w:tcPr>
          <w:p>
            <w:pPr>
              <w:spacing w:before="157" w:line="189" w:lineRule="auto"/>
              <w:ind w:firstLine="26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童梅莉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47" w:type="dxa"/>
            <w:vAlign w:val="top"/>
          </w:tcPr>
          <w:p>
            <w:pPr>
              <w:spacing w:before="195" w:line="180" w:lineRule="auto"/>
              <w:ind w:firstLine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vAlign w:val="top"/>
          </w:tcPr>
          <w:p>
            <w:pPr>
              <w:spacing w:before="153" w:line="18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256" w:type="dxa"/>
            <w:vAlign w:val="top"/>
          </w:tcPr>
          <w:p>
            <w:pPr>
              <w:spacing w:before="153" w:line="189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腾飞，南邮！</w:t>
            </w:r>
          </w:p>
        </w:tc>
        <w:tc>
          <w:tcPr>
            <w:tcW w:w="1206" w:type="dxa"/>
            <w:vAlign w:val="top"/>
          </w:tcPr>
          <w:p>
            <w:pPr>
              <w:spacing w:before="153" w:line="189" w:lineRule="auto"/>
              <w:ind w:firstLine="261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王存宏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7" w:type="dxa"/>
            <w:vAlign w:val="top"/>
          </w:tcPr>
          <w:p>
            <w:pPr>
              <w:spacing w:before="285" w:line="180" w:lineRule="auto"/>
              <w:ind w:firstLine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vAlign w:val="top"/>
          </w:tcPr>
          <w:p>
            <w:pPr>
              <w:spacing w:before="153" w:line="1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256" w:type="dxa"/>
            <w:vAlign w:val="top"/>
          </w:tcPr>
          <w:p>
            <w:pPr>
              <w:spacing w:before="153" w:line="18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圆楼霞光</w:t>
            </w:r>
          </w:p>
        </w:tc>
        <w:tc>
          <w:tcPr>
            <w:tcW w:w="1206" w:type="dxa"/>
            <w:vAlign w:val="top"/>
          </w:tcPr>
          <w:p>
            <w:pPr>
              <w:spacing w:before="153" w:line="189" w:lineRule="auto"/>
              <w:ind w:firstLine="261" w:firstLineChars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王存宏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7" w:type="dxa"/>
            <w:vAlign w:val="top"/>
          </w:tcPr>
          <w:p>
            <w:pPr>
              <w:spacing w:before="237" w:line="180" w:lineRule="auto"/>
              <w:ind w:firstLine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vAlign w:val="top"/>
          </w:tcPr>
          <w:p>
            <w:pPr>
              <w:spacing w:before="195" w:line="18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256" w:type="dxa"/>
            <w:vAlign w:val="top"/>
          </w:tcPr>
          <w:p>
            <w:pPr>
              <w:spacing w:before="195" w:line="1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向阳花开</w:t>
            </w:r>
          </w:p>
        </w:tc>
        <w:tc>
          <w:tcPr>
            <w:tcW w:w="1206" w:type="dxa"/>
            <w:vAlign w:val="top"/>
          </w:tcPr>
          <w:p>
            <w:pPr>
              <w:spacing w:before="195" w:line="189" w:lineRule="auto"/>
              <w:ind w:firstLine="258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王存宏</w:t>
            </w:r>
          </w:p>
        </w:tc>
      </w:tr>
    </w:tbl>
    <w:p>
      <w:pPr>
        <w:spacing w:line="296" w:lineRule="auto"/>
        <w:rPr>
          <w:rFonts w:ascii="宋体"/>
          <w:sz w:val="21"/>
        </w:rPr>
      </w:pPr>
    </w:p>
    <w:p>
      <w:pPr>
        <w:spacing w:line="296" w:lineRule="auto"/>
        <w:rPr>
          <w:rFonts w:ascii="宋体"/>
          <w:sz w:val="21"/>
        </w:rPr>
      </w:pPr>
    </w:p>
    <w:p>
      <w:pPr>
        <w:spacing w:before="104" w:line="188" w:lineRule="auto"/>
        <w:ind w:firstLine="39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二等奖</w:t>
      </w:r>
    </w:p>
    <w:p>
      <w:pPr>
        <w:spacing w:line="144" w:lineRule="exact"/>
      </w:pPr>
    </w:p>
    <w:tbl>
      <w:tblPr>
        <w:tblStyle w:val="5"/>
        <w:tblW w:w="8714" w:type="dxa"/>
        <w:tblInd w:w="1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218"/>
        <w:gridCol w:w="3538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724" w:type="dxa"/>
            <w:vAlign w:val="top"/>
          </w:tcPr>
          <w:p>
            <w:pPr>
              <w:spacing w:before="165" w:line="189" w:lineRule="auto"/>
              <w:ind w:firstLine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218" w:type="dxa"/>
            <w:vAlign w:val="top"/>
          </w:tcPr>
          <w:p>
            <w:pPr>
              <w:spacing w:before="165" w:line="189" w:lineRule="auto"/>
              <w:ind w:firstLine="1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3538" w:type="dxa"/>
            <w:vAlign w:val="top"/>
          </w:tcPr>
          <w:p>
            <w:pPr>
              <w:spacing w:before="124" w:line="189" w:lineRule="auto"/>
              <w:ind w:firstLine="1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</w:p>
        </w:tc>
        <w:tc>
          <w:tcPr>
            <w:tcW w:w="1234" w:type="dxa"/>
            <w:vAlign w:val="top"/>
          </w:tcPr>
          <w:p>
            <w:pPr>
              <w:spacing w:before="165" w:line="189" w:lineRule="auto"/>
              <w:ind w:firstLine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电子与光学工程学院、柔性电子（未来技术）学院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邮有花枝俏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蹇彤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现代邮政学院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窗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盛秋旭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现代邮政学院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秋意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盛秋旭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instrText xml:space="preserve"> HYPERLINK "http://cm.njupt.edu.cn/" \o "http://cm.njupt.edu.cn/" </w:instrTex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传媒与艺术学院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云说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周灵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instrText xml:space="preserve"> HYPERLINK "http://cm.njupt.edu.cn/" \o "http://cm.njupt.edu.cn/" </w:instrTex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传媒与艺术学院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春意满邮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徐雯雪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贝尔英才学院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飞翔.白鹭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傅坤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通达学院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通达之夜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童梅莉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通达学院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春色（校园教学楼）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杨俊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姹紫嫣红迎春来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陆红琳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对决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李心电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1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3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校园晨曦</w:t>
            </w:r>
          </w:p>
        </w:tc>
        <w:tc>
          <w:tcPr>
            <w:tcW w:w="123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王存宏</w:t>
            </w:r>
          </w:p>
        </w:tc>
      </w:tr>
    </w:tbl>
    <w:p>
      <w:pPr>
        <w:rPr>
          <w:rFonts w:ascii="宋体"/>
          <w:sz w:val="21"/>
        </w:rPr>
      </w:pPr>
    </w:p>
    <w:p>
      <w:pPr>
        <w:spacing w:before="157" w:line="189" w:lineRule="auto"/>
        <w:jc w:val="center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sectPr>
          <w:footerReference r:id="rId6" w:type="default"/>
          <w:pgSz w:w="11906" w:h="16839"/>
          <w:pgMar w:top="1431" w:right="1499" w:bottom="1535" w:left="1585" w:header="0" w:footer="1340" w:gutter="0"/>
          <w:cols w:space="720" w:num="1"/>
        </w:sectPr>
      </w:pPr>
    </w:p>
    <w:p>
      <w:pPr>
        <w:spacing w:before="104" w:line="188" w:lineRule="auto"/>
        <w:ind w:firstLine="3918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三等奖</w:t>
      </w:r>
    </w:p>
    <w:tbl>
      <w:tblPr>
        <w:tblStyle w:val="5"/>
        <w:tblW w:w="8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208"/>
        <w:gridCol w:w="3548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08" w:type="dxa"/>
            <w:vAlign w:val="top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3548" w:type="dxa"/>
            <w:vAlign w:val="top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作    品</w:t>
            </w:r>
          </w:p>
        </w:tc>
        <w:tc>
          <w:tcPr>
            <w:tcW w:w="1264" w:type="dxa"/>
            <w:vAlign w:val="top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作  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电子与光学工程学院、柔性电子（未来技术）学院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晨昏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李孟杨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电子与光学工程学院、柔性电子（未来技术）学院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夏日校园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祝腾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电子与光学工程学院、柔性电子（未来技术）学院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盛放的二月兰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祝腾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自动化学院、人工智能学院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时光轮回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朱梓嫣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梦幻之春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周旸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霞光里的图书馆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李美星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物联网学院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风雪松杉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桂兴亮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现代邮政学院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心向阳光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盛秋旭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现代邮政学院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影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盛秋旭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传媒与艺术学院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花样青春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李大伟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秋意阑珊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李华婷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晚霞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杨海超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教育科学与技术学院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二月兰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贝尔英才学院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乐学求知，尤是我“图”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王玉豪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通达学院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落日下的通达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叶娇娇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通达学院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煦风盼疫去，春水映柳回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王庆</w:t>
            </w:r>
          </w:p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陶曦鸣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图书馆、档案馆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守望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杨月凤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图书馆、档案馆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紫藤烂漫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刘瑶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春光.紫叶李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陆红琳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向阳而生 逐光而行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陆红琳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炫彩校园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陆红琳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春到南邮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王存宏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秋日私语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王存宏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0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后勤、基建</w:t>
            </w:r>
          </w:p>
        </w:tc>
        <w:tc>
          <w:tcPr>
            <w:tcW w:w="3548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致敬</w:t>
            </w:r>
          </w:p>
        </w:tc>
        <w:tc>
          <w:tcPr>
            <w:tcW w:w="1264" w:type="dxa"/>
            <w:vAlign w:val="center"/>
          </w:tcPr>
          <w:p>
            <w:pPr>
              <w:spacing w:before="157" w:line="18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丁芹</w:t>
            </w:r>
          </w:p>
        </w:tc>
      </w:tr>
    </w:tbl>
    <w:p>
      <w:pPr>
        <w:spacing w:line="297" w:lineRule="auto"/>
        <w:rPr>
          <w:rFonts w:ascii="宋体"/>
          <w:sz w:val="21"/>
        </w:rPr>
      </w:pPr>
    </w:p>
    <w:p>
      <w:pPr>
        <w:spacing w:line="297" w:lineRule="auto"/>
        <w:rPr>
          <w:rFonts w:ascii="宋体"/>
          <w:sz w:val="21"/>
        </w:rPr>
      </w:pPr>
    </w:p>
    <w:p>
      <w:pPr>
        <w:spacing w:before="104" w:line="188" w:lineRule="auto"/>
        <w:ind w:firstLine="8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特此通知。</w:t>
      </w:r>
    </w:p>
    <w:p>
      <w:pPr>
        <w:spacing w:line="359" w:lineRule="auto"/>
        <w:rPr>
          <w:rFonts w:ascii="宋体"/>
          <w:sz w:val="21"/>
        </w:rPr>
      </w:pPr>
    </w:p>
    <w:p>
      <w:pPr>
        <w:spacing w:line="360" w:lineRule="auto"/>
        <w:rPr>
          <w:rFonts w:ascii="宋体"/>
          <w:sz w:val="21"/>
        </w:rPr>
      </w:pPr>
    </w:p>
    <w:p>
      <w:pPr>
        <w:spacing w:before="104" w:line="188" w:lineRule="auto"/>
        <w:ind w:firstLine="607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87"/>
          <w:sz w:val="32"/>
          <w:szCs w:val="32"/>
          <w:lang w:val="en-US" w:eastAsia="zh-CN"/>
        </w:rPr>
        <w:t>4 月</w:t>
      </w:r>
      <w:r>
        <w:rPr>
          <w:rFonts w:hint="eastAsia" w:ascii="仿宋" w:hAnsi="仿宋" w:eastAsia="仿宋" w:cs="仿宋"/>
          <w:spacing w:val="-86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pacing w:val="-10"/>
          <w:sz w:val="32"/>
          <w:szCs w:val="32"/>
        </w:rPr>
        <w:t>日</w:t>
      </w:r>
    </w:p>
    <w:p>
      <w:pPr>
        <w:sectPr>
          <w:footerReference r:id="rId7" w:type="default"/>
          <w:pgSz w:w="11906" w:h="16839"/>
          <w:pgMar w:top="1431" w:right="1503" w:bottom="1535" w:left="1653" w:header="0" w:footer="1339" w:gutter="0"/>
          <w:cols w:space="720" w:num="1"/>
        </w:sectPr>
      </w:pPr>
    </w:p>
    <w:p>
      <w:pPr>
        <w:spacing w:before="163" w:line="188" w:lineRule="auto"/>
        <w:ind w:firstLine="4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1130300</wp:posOffset>
            </wp:positionH>
            <wp:positionV relativeFrom="page">
              <wp:posOffset>9150985</wp:posOffset>
            </wp:positionV>
            <wp:extent cx="5247005" cy="101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700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1136650</wp:posOffset>
            </wp:positionH>
            <wp:positionV relativeFrom="page">
              <wp:posOffset>9547225</wp:posOffset>
            </wp:positionV>
            <wp:extent cx="5270500" cy="1016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4"/>
          <w:sz w:val="32"/>
          <w:szCs w:val="32"/>
        </w:rPr>
        <w:t>（此页无正文）</w:t>
      </w: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before="104" w:line="188" w:lineRule="auto"/>
        <w:ind w:firstLine="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南京邮电大学工会委员会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4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84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Times New Roman" w:cs="Times New Roman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日印发</w:t>
      </w:r>
    </w:p>
    <w:p>
      <w:pPr>
        <w:spacing w:before="361" w:line="180" w:lineRule="auto"/>
        <w:ind w:firstLine="3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─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</w:rPr>
        <w:t>─</w:t>
      </w:r>
    </w:p>
    <w:sectPr>
      <w:footerReference r:id="rId8" w:type="default"/>
      <w:pgSz w:w="11906" w:h="16839"/>
      <w:pgMar w:top="1431" w:right="1785" w:bottom="40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7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─</w:t>
    </w:r>
    <w:r>
      <w:rPr>
        <w:rFonts w:ascii="宋体" w:hAnsi="宋体" w:eastAsia="宋体" w:cs="宋体"/>
        <w:spacing w:val="3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-4"/>
        <w:sz w:val="28"/>
        <w:szCs w:val="28"/>
      </w:rPr>
      <w:t>1</w:t>
    </w:r>
    <w:r>
      <w:rPr>
        <w:rFonts w:ascii="Times New Roman" w:hAnsi="Times New Roman" w:eastAsia="Times New Roman" w:cs="Times New Roman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position w:val="-4"/>
        <w:sz w:val="28"/>
        <w:szCs w:val="28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8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─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</w:t>
    </w:r>
    <w:r>
      <w:rPr>
        <w:rFonts w:ascii="Times New Roman" w:hAnsi="Times New Roman" w:eastAsia="Times New Roman" w:cs="Times New Roman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position w:val="-4"/>
        <w:sz w:val="28"/>
        <w:szCs w:val="28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8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─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3</w:t>
    </w:r>
    <w:r>
      <w:rPr>
        <w:rFonts w:ascii="Times New Roman" w:hAnsi="Times New Roman" w:eastAsia="Times New Roman" w:cs="Times New Roman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4"/>
        <w:position w:val="-4"/>
        <w:sz w:val="28"/>
        <w:szCs w:val="28"/>
      </w:rPr>
      <w:t>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5AD2437"/>
    <w:rsid w:val="1B5E7350"/>
    <w:rsid w:val="21C900EB"/>
    <w:rsid w:val="24E855FB"/>
    <w:rsid w:val="2F883392"/>
    <w:rsid w:val="3E607776"/>
    <w:rsid w:val="407A6A83"/>
    <w:rsid w:val="47A37700"/>
    <w:rsid w:val="48A97236"/>
    <w:rsid w:val="584126EE"/>
    <w:rsid w:val="6A4B0471"/>
    <w:rsid w:val="6F675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859</Words>
  <Characters>889</Characters>
  <TotalTime>0</TotalTime>
  <ScaleCrop>false</ScaleCrop>
  <LinksUpToDate>false</LinksUpToDate>
  <CharactersWithSpaces>942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2022-03-30T13:39:00Z</dcterms:created>
  <dc:creator>gh</dc:creator>
  <cp:lastModifiedBy>姝树</cp:lastModifiedBy>
  <dcterms:modified xsi:type="dcterms:W3CDTF">2022-04-19T06:18:13Z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2022-03-30T14:50:48Z</vt:filetime>
  </property>
  <property fmtid="{D5CDD505-2E9C-101B-9397-08002B2CF9AE}" pid="4" name="KSOProductBuildVer">
    <vt:lpwstr>2052-11.1.0.10578</vt:lpwstr>
  </property>
  <property fmtid="{D5CDD505-2E9C-101B-9397-08002B2CF9AE}" pid="5" name="ICV">
    <vt:lpwstr>DD68201BFE574BCA94B006D6803D8127</vt:lpwstr>
  </property>
</Properties>
</file>